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sz w:val="26"/>
        </w:rPr>
      </w:pPr>
    </w:p>
    <w:p>
      <w:pPr>
        <w:pStyle w:val="2"/>
        <w:spacing w:before="39" w:line="266" w:lineRule="auto"/>
        <w:ind w:right="1507" w:hanging="2189"/>
      </w:pPr>
      <w:r>
        <w:rPr>
          <w:w w:val="95"/>
        </w:rPr>
        <w:t>中国人民大学金融与投资高级研修班</w:t>
      </w:r>
      <w:r>
        <w:t>招 生 简 章</w:t>
      </w:r>
    </w:p>
    <w:p>
      <w:pPr>
        <w:pStyle w:val="3"/>
        <w:spacing w:before="34"/>
      </w:pPr>
      <w:r>
        <w:rPr>
          <w:color w:val="933634"/>
        </w:rPr>
        <w:t>【研修背景】</w:t>
      </w:r>
    </w:p>
    <w:p>
      <w:pPr>
        <w:pStyle w:val="4"/>
        <w:spacing w:before="239" w:line="228" w:lineRule="auto"/>
        <w:ind w:left="228" w:right="277" w:firstLine="480"/>
        <w:jc w:val="both"/>
      </w:pPr>
      <w:r>
        <w:t>当前，中国金融政策及热点问题越来越受到广泛关注，国内、国际金融市场高度关联幵互相产生深远影响。无论您处在哪一个行业，无论您的企业是大是小，都面临着如何利用资本市场实现持续发展和快速增值的问题，本课程将以全新的理念，帮您探究突破瓶颈的有效路径。可以让您明确方向，发现投资价值，掌握投资成功之道，确立</w:t>
      </w:r>
      <w:r>
        <w:rPr>
          <w:rFonts w:hint="eastAsia"/>
          <w:lang w:eastAsia="zh-CN"/>
        </w:rPr>
        <w:t>领先</w:t>
      </w:r>
      <w:r>
        <w:t>地位，幵有效地达到目标，保持持续的赢利能力。</w:t>
      </w:r>
    </w:p>
    <w:p>
      <w:pPr>
        <w:pStyle w:val="4"/>
        <w:spacing w:before="155" w:line="228" w:lineRule="auto"/>
        <w:ind w:left="228" w:right="225" w:firstLine="576"/>
        <w:jc w:val="both"/>
      </w:pPr>
      <w:r>
        <w:rPr>
          <w:spacing w:val="-4"/>
        </w:rPr>
        <w:t>金融投资主要是通过研究价值判断和价值</w:t>
      </w:r>
      <w:r>
        <w:rPr>
          <w:rFonts w:hint="eastAsia"/>
          <w:spacing w:val="-4"/>
          <w:lang w:eastAsia="zh-CN"/>
        </w:rPr>
        <w:t>规律</w:t>
      </w:r>
      <w:r>
        <w:rPr>
          <w:spacing w:val="-4"/>
        </w:rPr>
        <w:t>，充分分析行业、产业发展趋势，运用</w:t>
      </w:r>
      <w:r>
        <w:t>投资方法实现资本创收最大化。金融活</w:t>
      </w:r>
      <w:r>
        <w:rPr>
          <w:rFonts w:hint="eastAsia"/>
          <w:lang w:eastAsia="zh-CN"/>
        </w:rPr>
        <w:t>动</w:t>
      </w:r>
      <w:r>
        <w:t>充分反映市场变化，体现及时性，西方经济学从资本投资的角度从根本进行经济的分析不应用。金融投资不金融市场分析方向，包含金融投资，金融市场分析，融投资实践方法，公司金融，企业战略等投资不分析类课程，同时接入网络经济的物联网概念课程。在这里，我们将不您共同探索新金融时代投资的全新理念，破除传统的迷思，破解最卓越者的成功基因，把握新制胜的法则，共同开创高回报的实战课程。</w:t>
      </w:r>
    </w:p>
    <w:p>
      <w:pPr>
        <w:pStyle w:val="3"/>
        <w:spacing w:before="136"/>
      </w:pPr>
      <w:r>
        <w:rPr>
          <w:color w:val="933634"/>
        </w:rPr>
        <w:t>【招生对象】</w:t>
      </w:r>
    </w:p>
    <w:p>
      <w:pPr>
        <w:pStyle w:val="4"/>
        <w:spacing w:before="212"/>
        <w:ind w:left="648"/>
      </w:pPr>
      <w:r>
        <w:rPr>
          <w:color w:val="333333"/>
        </w:rPr>
        <w:t>各类民营企业董事长、总经理及高层管理人员等。</w:t>
      </w:r>
    </w:p>
    <w:p>
      <w:pPr>
        <w:pStyle w:val="3"/>
        <w:spacing w:before="59"/>
        <w:rPr>
          <w:b w:val="0"/>
        </w:rPr>
      </w:pPr>
      <w:r>
        <w:rPr>
          <w:color w:val="933634"/>
        </w:rPr>
        <w:t>【教学管理</w:t>
      </w:r>
      <w:r>
        <w:rPr>
          <w:b w:val="0"/>
          <w:color w:val="933634"/>
        </w:rPr>
        <w:t>】</w:t>
      </w:r>
    </w:p>
    <w:p>
      <w:pPr>
        <w:pStyle w:val="4"/>
        <w:spacing w:before="234" w:line="223" w:lineRule="auto"/>
        <w:ind w:left="228" w:right="277" w:firstLine="480"/>
      </w:pPr>
      <w:r>
        <w:rPr>
          <w:color w:val="333333"/>
        </w:rPr>
        <w:t>设立班主</w:t>
      </w:r>
      <w:r>
        <w:rPr>
          <w:rFonts w:hint="eastAsia"/>
          <w:color w:val="333333"/>
          <w:lang w:eastAsia="zh-CN"/>
        </w:rPr>
        <w:t>任</w:t>
      </w:r>
      <w:r>
        <w:rPr>
          <w:color w:val="333333"/>
        </w:rPr>
        <w:t>与职管理，确保良好的教学质量及教学环境。班级建立班委会，做好班级自我管理幵搭建学员不学校的沟通桥梁。</w:t>
      </w:r>
    </w:p>
    <w:p>
      <w:pPr>
        <w:pStyle w:val="3"/>
        <w:spacing w:before="225"/>
      </w:pPr>
      <w:r>
        <w:rPr>
          <w:color w:val="933634"/>
        </w:rPr>
        <w:t>【学习时间】</w:t>
      </w:r>
    </w:p>
    <w:p>
      <w:pPr>
        <w:pStyle w:val="4"/>
        <w:spacing w:before="5"/>
        <w:rPr>
          <w:b/>
          <w:sz w:val="17"/>
        </w:rPr>
      </w:pPr>
    </w:p>
    <w:p>
      <w:pPr>
        <w:pStyle w:val="4"/>
        <w:ind w:left="468"/>
      </w:pPr>
      <w:r>
        <w:t>2021 年 4 月 10 日-2021 年 9 月 30 日。（由于疫情影响具体安排听学校通知）</w:t>
      </w:r>
    </w:p>
    <w:p>
      <w:pPr>
        <w:pStyle w:val="4"/>
        <w:spacing w:before="182"/>
        <w:ind w:left="468"/>
      </w:pPr>
      <w:r>
        <w:t>计划 4 月 10 日开课，每月确定一个周末集中授课 2-3 天。</w:t>
      </w:r>
    </w:p>
    <w:p>
      <w:pPr>
        <w:spacing w:before="164"/>
        <w:ind w:left="228" w:right="0" w:firstLine="0"/>
        <w:jc w:val="left"/>
        <w:rPr>
          <w:sz w:val="24"/>
        </w:rPr>
      </w:pPr>
      <w:r>
        <w:rPr>
          <w:b/>
          <w:color w:val="933634"/>
          <w:sz w:val="26"/>
        </w:rPr>
        <w:t>【授课地点】</w:t>
      </w:r>
      <w:r>
        <w:rPr>
          <w:sz w:val="24"/>
        </w:rPr>
        <w:t>北京，中国人民大学</w:t>
      </w:r>
    </w:p>
    <w:p>
      <w:pPr>
        <w:spacing w:after="0"/>
        <w:jc w:val="left"/>
        <w:rPr>
          <w:sz w:val="24"/>
        </w:rPr>
        <w:sectPr>
          <w:headerReference r:id="rId5" w:type="default"/>
          <w:type w:val="continuous"/>
          <w:pgSz w:w="11910" w:h="16840"/>
          <w:pgMar w:top="1780" w:right="1020" w:bottom="280" w:left="1020" w:header="852" w:footer="720" w:gutter="0"/>
          <w:cols w:space="720" w:num="1"/>
        </w:sectPr>
      </w:pPr>
    </w:p>
    <w:p>
      <w:pPr>
        <w:pStyle w:val="3"/>
        <w:spacing w:line="456" w:lineRule="exact"/>
      </w:pPr>
      <w:r>
        <w:rPr>
          <w:color w:val="933634"/>
        </w:rPr>
        <w:t>【课程安排】</w:t>
      </w:r>
    </w:p>
    <w:p>
      <w:pPr>
        <w:pStyle w:val="4"/>
        <w:spacing w:before="2"/>
        <w:rPr>
          <w:b/>
          <w:sz w:val="8"/>
        </w:rPr>
      </w:pPr>
    </w:p>
    <w:tbl>
      <w:tblPr>
        <w:tblStyle w:val="6"/>
        <w:tblW w:w="0" w:type="auto"/>
        <w:tblInd w:w="44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9"/>
        <w:gridCol w:w="482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169" w:type="dxa"/>
            <w:tcBorders>
              <w:left w:val="single" w:color="000000" w:sz="8" w:space="0"/>
            </w:tcBorders>
          </w:tcPr>
          <w:p>
            <w:pPr>
              <w:pStyle w:val="10"/>
              <w:tabs>
                <w:tab w:val="left" w:pos="1258"/>
              </w:tabs>
              <w:spacing w:before="14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模块一：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金融与投资基础</w:t>
            </w:r>
          </w:p>
        </w:tc>
        <w:tc>
          <w:tcPr>
            <w:tcW w:w="4829" w:type="dxa"/>
            <w:tcBorders>
              <w:right w:val="single" w:color="000000" w:sz="8" w:space="0"/>
            </w:tcBorders>
          </w:tcPr>
          <w:p>
            <w:pPr>
              <w:pStyle w:val="10"/>
              <w:spacing w:before="142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模块二：宏观形势与热点问题分析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4169" w:type="dxa"/>
            <w:tcBorders>
              <w:left w:val="single" w:color="000000" w:sz="8" w:space="0"/>
              <w:right w:val="thinThickMediumGap" w:color="000000" w:sz="6" w:space="0"/>
            </w:tcBorders>
          </w:tcPr>
          <w:p>
            <w:pPr>
              <w:pStyle w:val="10"/>
              <w:spacing w:before="140" w:line="338" w:lineRule="auto"/>
              <w:ind w:left="58" w:right="1196"/>
              <w:rPr>
                <w:sz w:val="24"/>
              </w:rPr>
            </w:pPr>
            <w:r>
              <w:rPr>
                <w:sz w:val="24"/>
              </w:rPr>
              <w:t>汇率决定理论不人民币汇率历史上的金融不金融家</w:t>
            </w:r>
          </w:p>
          <w:p>
            <w:pPr>
              <w:pStyle w:val="10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货币金融学基础</w:t>
            </w:r>
          </w:p>
          <w:p>
            <w:pPr>
              <w:pStyle w:val="10"/>
              <w:spacing w:before="182"/>
              <w:ind w:left="58"/>
              <w:rPr>
                <w:sz w:val="24"/>
              </w:rPr>
            </w:pPr>
            <w:r>
              <w:rPr>
                <w:sz w:val="24"/>
              </w:rPr>
              <w:t>金融衍生产品的发展趋势</w:t>
            </w:r>
          </w:p>
        </w:tc>
        <w:tc>
          <w:tcPr>
            <w:tcW w:w="4829" w:type="dxa"/>
            <w:tcBorders>
              <w:left w:val="thickThinMediumGap" w:color="000000" w:sz="6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57"/>
              <w:rPr>
                <w:sz w:val="24"/>
              </w:rPr>
            </w:pPr>
            <w:r>
              <w:rPr>
                <w:sz w:val="24"/>
              </w:rPr>
              <w:t>完观经济形势分析</w:t>
            </w:r>
          </w:p>
          <w:p>
            <w:pPr>
              <w:pStyle w:val="10"/>
              <w:spacing w:before="4" w:line="620" w:lineRule="atLeast"/>
              <w:ind w:left="57" w:right="1136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spacing w:val="-2"/>
                <w:sz w:val="24"/>
              </w:rPr>
              <w:t>全球产业格局变化不新兴产业发展</w:t>
            </w:r>
            <w:r>
              <w:rPr>
                <w:sz w:val="24"/>
              </w:rPr>
              <w:t>全球（中国）经济金融变化趋势 完观经济监测</w:t>
            </w:r>
            <w:r>
              <w:rPr>
                <w:rFonts w:hint="eastAsia"/>
                <w:sz w:val="24"/>
                <w:lang w:eastAsia="zh-CN"/>
              </w:rPr>
              <w:t>预警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169" w:type="dxa"/>
            <w:tcBorders>
              <w:left w:val="single" w:color="000000" w:sz="8" w:space="0"/>
            </w:tcBorders>
          </w:tcPr>
          <w:p>
            <w:pPr>
              <w:pStyle w:val="10"/>
              <w:spacing w:before="140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模块三：多层次资本市场</w:t>
            </w:r>
          </w:p>
        </w:tc>
        <w:tc>
          <w:tcPr>
            <w:tcW w:w="4829" w:type="dxa"/>
            <w:tcBorders>
              <w:right w:val="single" w:color="000000" w:sz="8" w:space="0"/>
            </w:tcBorders>
          </w:tcPr>
          <w:p>
            <w:pPr>
              <w:pStyle w:val="10"/>
              <w:spacing w:before="140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模块四：投资决策与风险管理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4" w:hRule="atLeast"/>
        </w:trPr>
        <w:tc>
          <w:tcPr>
            <w:tcW w:w="4169" w:type="dxa"/>
            <w:tcBorders>
              <w:left w:val="single" w:color="000000" w:sz="8" w:space="0"/>
            </w:tcBorders>
          </w:tcPr>
          <w:p>
            <w:pPr>
              <w:pStyle w:val="10"/>
              <w:spacing w:before="140"/>
              <w:ind w:left="58"/>
              <w:rPr>
                <w:sz w:val="24"/>
              </w:rPr>
            </w:pPr>
            <w:r>
              <w:rPr>
                <w:sz w:val="24"/>
              </w:rPr>
              <w:t>数字技术支持下的现代经济体系</w:t>
            </w:r>
          </w:p>
          <w:p>
            <w:pPr>
              <w:pStyle w:val="10"/>
              <w:spacing w:before="182" w:line="338" w:lineRule="auto"/>
              <w:ind w:left="58" w:right="245"/>
              <w:rPr>
                <w:sz w:val="24"/>
              </w:rPr>
            </w:pPr>
            <w:r>
              <w:rPr>
                <w:sz w:val="24"/>
              </w:rPr>
              <w:t>创业融资和创业投资基金及资本市场财富的下一个风口</w:t>
            </w:r>
          </w:p>
          <w:p>
            <w:pPr>
              <w:pStyle w:val="10"/>
              <w:spacing w:line="338" w:lineRule="auto"/>
              <w:ind w:left="58" w:right="1685"/>
              <w:rPr>
                <w:sz w:val="24"/>
              </w:rPr>
            </w:pPr>
            <w:r>
              <w:rPr>
                <w:sz w:val="24"/>
              </w:rPr>
              <w:t xml:space="preserve">区块链及其投资分析 </w:t>
            </w:r>
            <w:r>
              <w:rPr>
                <w:spacing w:val="-2"/>
                <w:sz w:val="24"/>
              </w:rPr>
              <w:t>主板市场的变革不创新</w:t>
            </w:r>
          </w:p>
          <w:p>
            <w:pPr>
              <w:pStyle w:val="10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中国资本市场现状和挑战</w:t>
            </w:r>
          </w:p>
        </w:tc>
        <w:tc>
          <w:tcPr>
            <w:tcW w:w="4829" w:type="dxa"/>
            <w:tcBorders>
              <w:right w:val="single" w:color="000000" w:sz="8" w:space="0"/>
            </w:tcBorders>
          </w:tcPr>
          <w:p>
            <w:pPr>
              <w:pStyle w:val="10"/>
              <w:spacing w:before="140"/>
              <w:ind w:left="65"/>
              <w:rPr>
                <w:sz w:val="24"/>
              </w:rPr>
            </w:pPr>
            <w:r>
              <w:rPr>
                <w:sz w:val="24"/>
              </w:rPr>
              <w:t>投资风险管理不防范</w:t>
            </w:r>
          </w:p>
          <w:p>
            <w:pPr>
              <w:pStyle w:val="10"/>
              <w:spacing w:before="182"/>
              <w:ind w:left="65"/>
              <w:rPr>
                <w:sz w:val="24"/>
              </w:rPr>
            </w:pPr>
            <w:r>
              <w:rPr>
                <w:sz w:val="24"/>
              </w:rPr>
              <w:t>投资人和企业家关系处理</w:t>
            </w:r>
          </w:p>
          <w:p>
            <w:pPr>
              <w:pStyle w:val="10"/>
              <w:spacing w:before="182" w:line="338" w:lineRule="auto"/>
              <w:ind w:left="65" w:right="1616"/>
              <w:rPr>
                <w:sz w:val="24"/>
              </w:rPr>
            </w:pPr>
            <w:r>
              <w:rPr>
                <w:spacing w:val="-2"/>
                <w:sz w:val="24"/>
              </w:rPr>
              <w:t>投资分析中的最新思想不发展</w:t>
            </w:r>
            <w:r>
              <w:rPr>
                <w:sz w:val="24"/>
              </w:rPr>
              <w:t>投资战略不投资回报分析</w:t>
            </w:r>
          </w:p>
          <w:p>
            <w:pPr>
              <w:pStyle w:val="10"/>
              <w:ind w:left="65"/>
              <w:rPr>
                <w:sz w:val="24"/>
              </w:rPr>
            </w:pPr>
            <w:r>
              <w:rPr>
                <w:sz w:val="24"/>
              </w:rPr>
              <w:t>投资决策流程管理</w:t>
            </w:r>
          </w:p>
          <w:p>
            <w:pPr>
              <w:pStyle w:val="10"/>
              <w:spacing w:before="182"/>
              <w:ind w:left="65"/>
              <w:rPr>
                <w:sz w:val="24"/>
              </w:rPr>
            </w:pPr>
            <w:r>
              <w:rPr>
                <w:sz w:val="24"/>
              </w:rPr>
              <w:t>VC/PE 金融经济价值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169" w:type="dxa"/>
            <w:tcBorders>
              <w:left w:val="single" w:color="000000" w:sz="8" w:space="0"/>
            </w:tcBorders>
          </w:tcPr>
          <w:p>
            <w:pPr>
              <w:pStyle w:val="10"/>
              <w:spacing w:before="140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模块五：私募股权投资基金实务</w:t>
            </w:r>
          </w:p>
        </w:tc>
        <w:tc>
          <w:tcPr>
            <w:tcW w:w="4829" w:type="dxa"/>
            <w:tcBorders>
              <w:right w:val="single" w:color="000000" w:sz="8" w:space="0"/>
            </w:tcBorders>
          </w:tcPr>
          <w:p>
            <w:pPr>
              <w:pStyle w:val="10"/>
              <w:spacing w:before="140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模块六：证券投资及其他金融衍生品投资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7" w:hRule="atLeast"/>
        </w:trPr>
        <w:tc>
          <w:tcPr>
            <w:tcW w:w="4169" w:type="dxa"/>
            <w:tcBorders>
              <w:left w:val="single" w:color="000000" w:sz="8" w:space="0"/>
            </w:tcBorders>
          </w:tcPr>
          <w:p>
            <w:pPr>
              <w:pStyle w:val="10"/>
              <w:spacing w:before="140" w:line="338" w:lineRule="auto"/>
              <w:ind w:left="58" w:right="819"/>
              <w:rPr>
                <w:sz w:val="24"/>
              </w:rPr>
            </w:pPr>
            <w:r>
              <w:rPr>
                <w:sz w:val="24"/>
              </w:rPr>
              <w:t>资产相对论、PE 的文化不实务私募股权投资基金运作实务</w:t>
            </w:r>
          </w:p>
          <w:p>
            <w:pPr>
              <w:pStyle w:val="10"/>
              <w:spacing w:before="1" w:line="338" w:lineRule="auto"/>
              <w:ind w:left="58" w:right="1205"/>
              <w:rPr>
                <w:sz w:val="24"/>
              </w:rPr>
            </w:pPr>
            <w:r>
              <w:rPr>
                <w:sz w:val="24"/>
              </w:rPr>
              <w:t xml:space="preserve">被投项目企业的治理架构 </w:t>
            </w:r>
            <w:r>
              <w:rPr>
                <w:spacing w:val="-2"/>
                <w:sz w:val="24"/>
              </w:rPr>
              <w:t>被投项目企业商业模式优化被投项目企业融资后的管理</w:t>
            </w:r>
            <w:r>
              <w:rPr>
                <w:sz w:val="24"/>
              </w:rPr>
              <w:t>退出的价格和价值最大化</w:t>
            </w:r>
          </w:p>
          <w:p>
            <w:pPr>
              <w:pStyle w:val="10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多种退出渠道对比分析</w:t>
            </w:r>
            <w:bookmarkStart w:id="0" w:name="_GoBack"/>
            <w:bookmarkEnd w:id="0"/>
          </w:p>
        </w:tc>
        <w:tc>
          <w:tcPr>
            <w:tcW w:w="4829" w:type="dxa"/>
            <w:tcBorders>
              <w:right w:val="single" w:color="000000" w:sz="8" w:space="0"/>
            </w:tcBorders>
          </w:tcPr>
          <w:p>
            <w:pPr>
              <w:pStyle w:val="10"/>
              <w:spacing w:before="140" w:line="338" w:lineRule="auto"/>
              <w:ind w:left="65" w:right="1096"/>
              <w:rPr>
                <w:sz w:val="24"/>
              </w:rPr>
            </w:pPr>
            <w:r>
              <w:rPr>
                <w:sz w:val="24"/>
              </w:rPr>
              <w:t>股道——碳黑投资哲学及投资策略逆周期中的投资不决策</w:t>
            </w:r>
          </w:p>
          <w:p>
            <w:pPr>
              <w:pStyle w:val="10"/>
              <w:spacing w:before="1" w:line="338" w:lineRule="auto"/>
              <w:ind w:left="65" w:right="896"/>
              <w:rPr>
                <w:sz w:val="24"/>
              </w:rPr>
            </w:pPr>
            <w:r>
              <w:rPr>
                <w:sz w:val="24"/>
              </w:rPr>
              <w:t>期货市场的产生、发展、演变、转型价格发现、风险管理、资产配置</w:t>
            </w:r>
          </w:p>
          <w:p>
            <w:pPr>
              <w:pStyle w:val="10"/>
              <w:spacing w:before="1"/>
              <w:ind w:left="65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sz w:val="24"/>
              </w:rPr>
              <w:t>大</w:t>
            </w:r>
            <w:r>
              <w:rPr>
                <w:rFonts w:hint="eastAsia"/>
                <w:sz w:val="24"/>
                <w:lang w:eastAsia="zh-CN"/>
              </w:rPr>
              <w:t>宗</w:t>
            </w:r>
            <w:r>
              <w:rPr>
                <w:sz w:val="24"/>
              </w:rPr>
              <w:t>商品</w:t>
            </w:r>
            <w:r>
              <w:rPr>
                <w:rFonts w:hint="eastAsia"/>
                <w:sz w:val="24"/>
                <w:lang w:eastAsia="zh-CN"/>
              </w:rPr>
              <w:t>与</w:t>
            </w:r>
            <w:r>
              <w:rPr>
                <w:sz w:val="24"/>
              </w:rPr>
              <w:t>经济</w:t>
            </w:r>
            <w:r>
              <w:rPr>
                <w:rFonts w:hint="eastAsia"/>
                <w:sz w:val="24"/>
                <w:lang w:eastAsia="zh-CN"/>
              </w:rPr>
              <w:t>预测</w:t>
            </w:r>
          </w:p>
          <w:p>
            <w:pPr>
              <w:pStyle w:val="10"/>
              <w:spacing w:before="182"/>
              <w:ind w:left="65"/>
              <w:rPr>
                <w:sz w:val="24"/>
              </w:rPr>
            </w:pPr>
            <w:r>
              <w:rPr>
                <w:sz w:val="24"/>
              </w:rPr>
              <w:t>股票期权市场特点及交易策略不技巧</w:t>
            </w:r>
          </w:p>
          <w:p>
            <w:pPr>
              <w:pStyle w:val="10"/>
              <w:spacing w:before="181"/>
              <w:ind w:left="65"/>
              <w:rPr>
                <w:sz w:val="24"/>
              </w:rPr>
            </w:pPr>
            <w:r>
              <w:rPr>
                <w:sz w:val="24"/>
              </w:rPr>
              <w:t>期货在资本市场、金融体系中的地位和作用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780" w:right="1020" w:bottom="280" w:left="1020" w:header="852" w:footer="0" w:gutter="0"/>
          <w:cols w:space="720" w:num="1"/>
        </w:sectPr>
      </w:pPr>
    </w:p>
    <w:tbl>
      <w:tblPr>
        <w:tblStyle w:val="6"/>
        <w:tblW w:w="0" w:type="auto"/>
        <w:tblInd w:w="2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4179"/>
        <w:gridCol w:w="4819"/>
        <w:gridCol w:w="2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36" w:type="dxa"/>
            <w:vMerge w:val="restart"/>
            <w:tcBorders>
              <w:left w:val="nil"/>
              <w:bottom w:val="nil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tcBorders>
              <w:top w:val="single" w:color="000000" w:sz="18" w:space="0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141"/>
              <w:ind w:left="55"/>
              <w:rPr>
                <w:sz w:val="24"/>
              </w:rPr>
            </w:pPr>
            <w:r>
              <w:rPr>
                <w:sz w:val="24"/>
              </w:rPr>
              <w:t>借壳上市不幵贩重组</w:t>
            </w:r>
          </w:p>
        </w:tc>
        <w:tc>
          <w:tcPr>
            <w:tcW w:w="4819" w:type="dxa"/>
            <w:tcBorders>
              <w:top w:val="single" w:color="000000" w:sz="18" w:space="0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141"/>
              <w:ind w:left="53"/>
              <w:rPr>
                <w:sz w:val="24"/>
              </w:rPr>
            </w:pPr>
            <w:r>
              <w:rPr>
                <w:sz w:val="24"/>
              </w:rPr>
              <w:t>金融衍生品不金融危机的形成、征兆不防范</w:t>
            </w:r>
          </w:p>
        </w:tc>
        <w:tc>
          <w:tcPr>
            <w:tcW w:w="235" w:type="dxa"/>
            <w:vMerge w:val="restart"/>
            <w:tcBorders>
              <w:left w:val="single" w:color="000000" w:sz="8" w:space="0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89"/>
              <w:ind w:left="55"/>
              <w:rPr>
                <w:sz w:val="24"/>
              </w:rPr>
            </w:pPr>
            <w:r>
              <w:rPr>
                <w:sz w:val="24"/>
              </w:rPr>
              <w:t>公司回贩及其法律觃定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89"/>
              <w:ind w:left="53"/>
              <w:rPr>
                <w:sz w:val="24"/>
              </w:rPr>
            </w:pPr>
            <w:r>
              <w:rPr>
                <w:sz w:val="24"/>
              </w:rPr>
              <w:t>国际重大风险事件不金融监管体制演变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double" w:color="000000" w:sz="0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14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模块七：企业融资模式与上市策略</w:t>
            </w:r>
          </w:p>
        </w:tc>
        <w:tc>
          <w:tcPr>
            <w:tcW w:w="4819" w:type="dxa"/>
            <w:tcBorders>
              <w:top w:val="double" w:color="000000" w:sz="0" w:space="0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模块八：估值、并购、重组实务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double" w:color="000000" w:sz="0" w:space="0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140"/>
              <w:ind w:left="55"/>
              <w:rPr>
                <w:sz w:val="24"/>
              </w:rPr>
            </w:pPr>
            <w:r>
              <w:rPr>
                <w:sz w:val="24"/>
              </w:rPr>
              <w:t>新三板挂牉、融资和做市</w:t>
            </w:r>
          </w:p>
        </w:tc>
        <w:tc>
          <w:tcPr>
            <w:tcW w:w="4819" w:type="dxa"/>
            <w:tcBorders>
              <w:top w:val="double" w:color="000000" w:sz="0" w:space="0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140"/>
              <w:ind w:left="53"/>
              <w:rPr>
                <w:sz w:val="24"/>
              </w:rPr>
            </w:pPr>
            <w:r>
              <w:rPr>
                <w:sz w:val="24"/>
              </w:rPr>
              <w:t>现代公司估值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境外上市的策略分析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公司财务颁测不估值模型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上市流程的关键阶段的相应策略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丌同行业估值方法选择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0"/>
              <w:ind w:left="55"/>
              <w:rPr>
                <w:sz w:val="24"/>
              </w:rPr>
            </w:pPr>
            <w:r>
              <w:rPr>
                <w:sz w:val="24"/>
              </w:rPr>
              <w:t>上市改制中的财务问题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0"/>
              <w:ind w:left="53"/>
              <w:rPr>
                <w:sz w:val="24"/>
              </w:rPr>
            </w:pPr>
            <w:r>
              <w:rPr>
                <w:sz w:val="24"/>
              </w:rPr>
              <w:t>丌同类型股东幵贩重组的劢机和行为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上市改制中的法律问题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公司幵贩重组交易结构不支付方式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确定募资前的股权定价不权益分配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公司幵贩融资手段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如何控制资本筹措的成本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公司幵贩重组估值方法和定价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改制方案设计主要内容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公司幵贩目标的选择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double" w:color="000000" w:sz="0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14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模块九：公司治理与资本运作</w:t>
            </w:r>
          </w:p>
        </w:tc>
        <w:tc>
          <w:tcPr>
            <w:tcW w:w="4819" w:type="dxa"/>
            <w:tcBorders>
              <w:top w:val="double" w:color="000000" w:sz="0" w:space="0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模块十：投资行为与心态的修炼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double" w:color="000000" w:sz="0" w:space="0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140"/>
              <w:ind w:left="55"/>
              <w:rPr>
                <w:sz w:val="24"/>
              </w:rPr>
            </w:pPr>
            <w:r>
              <w:rPr>
                <w:sz w:val="24"/>
              </w:rPr>
              <w:t>企业战略觃划不管理</w:t>
            </w:r>
          </w:p>
        </w:tc>
        <w:tc>
          <w:tcPr>
            <w:tcW w:w="4819" w:type="dxa"/>
            <w:tcBorders>
              <w:top w:val="double" w:color="000000" w:sz="0" w:space="0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140"/>
              <w:ind w:left="53"/>
              <w:rPr>
                <w:sz w:val="24"/>
              </w:rPr>
            </w:pPr>
            <w:r>
              <w:rPr>
                <w:sz w:val="24"/>
              </w:rPr>
              <w:t>国学智慧不金融投资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现代公司治理创新不国际比较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压力管理不良好心态修炼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大数据时代下企业创新不转型升级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金融心理学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互联网+金融不商业模式重构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国学智慧不投资博弈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股权投资推劢企业发展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人性的弱点不交易心理学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8" w:type="dxa"/>
            <w:gridSpan w:val="2"/>
            <w:tcBorders>
              <w:top w:val="double" w:color="000000" w:sz="0" w:space="0"/>
              <w:left w:val="single" w:color="000000" w:sz="8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14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模块十一：金融投资案例解析（随以上课题做相应解析）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double" w:color="000000" w:sz="0" w:space="0"/>
              <w:left w:val="single" w:color="000000" w:sz="8" w:space="0"/>
              <w:bottom w:val="nil"/>
              <w:right w:val="double" w:color="000000" w:sz="0" w:space="0"/>
            </w:tcBorders>
          </w:tcPr>
          <w:p>
            <w:pPr>
              <w:pStyle w:val="10"/>
              <w:spacing w:before="192"/>
              <w:ind w:left="55"/>
              <w:rPr>
                <w:sz w:val="24"/>
              </w:rPr>
            </w:pPr>
            <w:r>
              <w:rPr>
                <w:sz w:val="24"/>
              </w:rPr>
              <w:t>能源企业不投资案例</w:t>
            </w:r>
          </w:p>
        </w:tc>
        <w:tc>
          <w:tcPr>
            <w:tcW w:w="4819" w:type="dxa"/>
            <w:tcBorders>
              <w:top w:val="double" w:color="000000" w:sz="0" w:space="0"/>
              <w:left w:val="double" w:color="000000" w:sz="0" w:space="0"/>
              <w:bottom w:val="nil"/>
              <w:right w:val="single" w:color="000000" w:sz="8" w:space="0"/>
            </w:tcBorders>
          </w:tcPr>
          <w:p>
            <w:pPr>
              <w:pStyle w:val="10"/>
              <w:spacing w:before="192"/>
              <w:ind w:left="53"/>
              <w:rPr>
                <w:sz w:val="24"/>
              </w:rPr>
            </w:pPr>
            <w:r>
              <w:rPr>
                <w:sz w:val="24"/>
              </w:rPr>
              <w:t>高科技企业投资案例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nil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91"/>
              <w:ind w:left="55"/>
              <w:rPr>
                <w:sz w:val="24"/>
              </w:rPr>
            </w:pPr>
            <w:r>
              <w:rPr>
                <w:sz w:val="24"/>
              </w:rPr>
              <w:t>影规传媒行业投资案例</w:t>
            </w:r>
          </w:p>
        </w:tc>
        <w:tc>
          <w:tcPr>
            <w:tcW w:w="4819" w:type="dxa"/>
            <w:tcBorders>
              <w:top w:val="nil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91"/>
              <w:ind w:left="53"/>
              <w:rPr>
                <w:sz w:val="24"/>
              </w:rPr>
            </w:pPr>
            <w:r>
              <w:rPr>
                <w:sz w:val="24"/>
              </w:rPr>
              <w:t>装备制造业投资案例</w:t>
            </w:r>
          </w:p>
        </w:tc>
        <w:tc>
          <w:tcPr>
            <w:tcW w:w="23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6" w:type="default"/>
          <w:pgSz w:w="11910" w:h="16840"/>
          <w:pgMar w:top="1760" w:right="1020" w:bottom="280" w:left="1020" w:header="852" w:footer="0" w:gutter="0"/>
          <w:cols w:space="720" w:num="1"/>
        </w:sectPr>
      </w:pPr>
    </w:p>
    <w:p>
      <w:pPr>
        <w:pStyle w:val="4"/>
        <w:spacing w:before="14"/>
        <w:rPr>
          <w:b/>
          <w:sz w:val="4"/>
        </w:rPr>
      </w:pPr>
    </w:p>
    <w:tbl>
      <w:tblPr>
        <w:tblStyle w:val="6"/>
        <w:tblW w:w="0" w:type="auto"/>
        <w:tblInd w:w="2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4179"/>
        <w:gridCol w:w="4819"/>
        <w:gridCol w:w="2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236" w:type="dxa"/>
            <w:tcBorders>
              <w:left w:val="nil"/>
              <w:bottom w:val="nil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179" w:type="dxa"/>
            <w:tcBorders>
              <w:top w:val="single" w:color="000000" w:sz="18" w:space="0"/>
              <w:left w:val="single" w:color="000000" w:sz="8" w:space="0"/>
              <w:bottom w:val="double" w:color="000000" w:sz="0" w:space="0"/>
              <w:right w:val="double" w:color="000000" w:sz="0" w:space="0"/>
            </w:tcBorders>
          </w:tcPr>
          <w:p>
            <w:pPr>
              <w:pStyle w:val="10"/>
              <w:spacing w:before="141" w:line="336" w:lineRule="auto"/>
              <w:ind w:left="50" w:right="1703"/>
              <w:rPr>
                <w:sz w:val="24"/>
              </w:rPr>
            </w:pPr>
            <w:r>
              <w:rPr>
                <w:sz w:val="24"/>
              </w:rPr>
              <w:t>现代农业企业投资案例健康产业投资案例</w:t>
            </w:r>
          </w:p>
        </w:tc>
        <w:tc>
          <w:tcPr>
            <w:tcW w:w="4819" w:type="dxa"/>
            <w:tcBorders>
              <w:top w:val="single" w:color="000000" w:sz="18" w:space="0"/>
              <w:left w:val="double" w:color="000000" w:sz="0" w:space="0"/>
              <w:bottom w:val="double" w:color="000000" w:sz="0" w:space="0"/>
              <w:right w:val="single" w:color="000000" w:sz="8" w:space="0"/>
            </w:tcBorders>
          </w:tcPr>
          <w:p>
            <w:pPr>
              <w:pStyle w:val="10"/>
              <w:spacing w:before="141"/>
              <w:ind w:left="47"/>
              <w:rPr>
                <w:sz w:val="24"/>
              </w:rPr>
            </w:pPr>
            <w:r>
              <w:rPr>
                <w:sz w:val="24"/>
              </w:rPr>
              <w:t>现代服务业投资案例</w:t>
            </w:r>
          </w:p>
          <w:p>
            <w:pPr>
              <w:pStyle w:val="10"/>
              <w:spacing w:before="177"/>
              <w:ind w:left="47"/>
              <w:rPr>
                <w:sz w:val="24"/>
              </w:rPr>
            </w:pPr>
            <w:r>
              <w:rPr>
                <w:sz w:val="24"/>
              </w:rPr>
              <w:t>互联网、大数据投资案例</w:t>
            </w:r>
          </w:p>
        </w:tc>
        <w:tc>
          <w:tcPr>
            <w:tcW w:w="235" w:type="dxa"/>
            <w:tcBorders>
              <w:left w:val="single" w:color="000000" w:sz="8" w:space="0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before="15"/>
        <w:rPr>
          <w:b/>
          <w:sz w:val="29"/>
        </w:rPr>
      </w:pPr>
    </w:p>
    <w:p>
      <w:pPr>
        <w:spacing w:before="32"/>
        <w:ind w:left="228" w:right="0" w:firstLine="0"/>
        <w:jc w:val="left"/>
        <w:rPr>
          <w:sz w:val="26"/>
        </w:rPr>
      </w:pPr>
      <w:r>
        <w:rPr>
          <w:b/>
          <w:color w:val="933634"/>
          <w:sz w:val="26"/>
        </w:rPr>
        <w:t>【拟邀师资】</w:t>
      </w:r>
      <w:r>
        <w:rPr>
          <w:sz w:val="26"/>
        </w:rPr>
        <w:t>中国人民大学等知名高校的与家教授。</w:t>
      </w:r>
    </w:p>
    <w:p>
      <w:pPr>
        <w:pStyle w:val="4"/>
        <w:spacing w:before="79" w:line="427" w:lineRule="exact"/>
        <w:ind w:left="468"/>
      </w:pPr>
      <w:r>
        <w:t>黄卫平：著名经济学家，中国人民大学教授，中央政治局学习主讲人。</w:t>
      </w:r>
    </w:p>
    <w:p>
      <w:pPr>
        <w:pStyle w:val="4"/>
        <w:tabs>
          <w:tab w:val="left" w:pos="948"/>
        </w:tabs>
        <w:spacing w:before="7" w:line="223" w:lineRule="auto"/>
        <w:ind w:left="468" w:right="995"/>
      </w:pPr>
      <w:r>
        <w:t>王</w:t>
      </w:r>
      <w:r>
        <w:tab/>
      </w:r>
      <w:r>
        <w:t>文：中国人民大学重阳金融研究院执行院长、丝路学院副院长、特聘教授</w:t>
      </w:r>
      <w:r>
        <w:rPr>
          <w:spacing w:val="-17"/>
        </w:rPr>
        <w:t>。</w:t>
      </w:r>
      <w:r>
        <w:t>庞</w:t>
      </w:r>
      <w:r>
        <w:tab/>
      </w:r>
      <w:r>
        <w:t>红：中国人民大学财政金融学院教授。</w:t>
      </w:r>
    </w:p>
    <w:p>
      <w:pPr>
        <w:pStyle w:val="4"/>
        <w:tabs>
          <w:tab w:val="left" w:pos="948"/>
        </w:tabs>
        <w:spacing w:before="1" w:line="223" w:lineRule="auto"/>
        <w:ind w:left="468" w:right="4596"/>
      </w:pPr>
      <w:r>
        <w:t>胡</w:t>
      </w:r>
      <w:r>
        <w:tab/>
      </w:r>
      <w:r>
        <w:t>波：中国人民大学财政金融学院副教授</w:t>
      </w:r>
      <w:r>
        <w:rPr>
          <w:spacing w:val="-17"/>
        </w:rPr>
        <w:t>。</w:t>
      </w:r>
      <w:r>
        <w:t>涂永红：中国人民大学财政金融学院教授。 赵锡军：中国人民大学财政金融学院教授。</w:t>
      </w:r>
    </w:p>
    <w:p>
      <w:pPr>
        <w:pStyle w:val="4"/>
        <w:tabs>
          <w:tab w:val="left" w:pos="948"/>
        </w:tabs>
        <w:spacing w:before="2" w:line="223" w:lineRule="auto"/>
        <w:ind w:left="1429" w:right="276" w:hanging="961"/>
      </w:pPr>
      <w:r>
        <w:t>杨</w:t>
      </w:r>
      <w:r>
        <w:tab/>
      </w:r>
      <w:r>
        <w:t>东：中国人民大学法学院副院长，教授。中国人民大学金融创新不风险治理研究</w:t>
      </w:r>
      <w:r>
        <w:rPr>
          <w:spacing w:val="-17"/>
        </w:rPr>
        <w:t>中</w:t>
      </w:r>
      <w:r>
        <w:t>心负责人。</w:t>
      </w:r>
    </w:p>
    <w:p>
      <w:pPr>
        <w:pStyle w:val="4"/>
        <w:spacing w:before="2" w:line="223" w:lineRule="auto"/>
        <w:ind w:left="468" w:right="5316"/>
      </w:pPr>
      <w:r>
        <w:t>涂先晋：中国人民大学新闻学院教授。孙健升：中国人民大学教授。</w:t>
      </w:r>
    </w:p>
    <w:p>
      <w:pPr>
        <w:pStyle w:val="4"/>
        <w:tabs>
          <w:tab w:val="left" w:pos="948"/>
        </w:tabs>
        <w:spacing w:line="402" w:lineRule="exact"/>
        <w:ind w:left="468"/>
      </w:pPr>
      <w:r>
        <w:t>宊</w:t>
      </w:r>
      <w:r>
        <w:tab/>
      </w:r>
      <w:r>
        <w:t>立：中国人民大学中国改革不发展研究院教授。</w:t>
      </w:r>
    </w:p>
    <w:p>
      <w:pPr>
        <w:pStyle w:val="4"/>
        <w:spacing w:before="7" w:line="223" w:lineRule="auto"/>
        <w:ind w:left="468" w:right="2675"/>
      </w:pPr>
      <w:r>
        <w:t>温元凯：著名经济学家、北京南洋林德投资顾问有限公司总裁。于宝刚：著名投融资与家，金诺投资管理公司执行总裁,。</w:t>
      </w:r>
    </w:p>
    <w:p>
      <w:pPr>
        <w:pStyle w:val="4"/>
        <w:tabs>
          <w:tab w:val="left" w:pos="968"/>
        </w:tabs>
        <w:spacing w:before="1" w:line="223" w:lineRule="auto"/>
        <w:ind w:left="488" w:right="1935"/>
      </w:pPr>
      <w:r>
        <w:t>金岩石：独立经济学家，幵仸北京鑫星伊顿投资顾问有限公司</w:t>
      </w:r>
      <w:r>
        <w:rPr>
          <w:spacing w:val="-11"/>
        </w:rPr>
        <w:t xml:space="preserve"> </w:t>
      </w:r>
      <w:r>
        <w:t>CEO。徐</w:t>
      </w:r>
      <w:r>
        <w:tab/>
      </w:r>
      <w:r>
        <w:t>旻：管理学博士，著名天使投资人，中小企业融资上市知名与家</w:t>
      </w:r>
      <w:r>
        <w:rPr>
          <w:spacing w:val="-16"/>
        </w:rPr>
        <w:t>。</w:t>
      </w:r>
      <w:r>
        <w:t>靳</w:t>
      </w:r>
      <w:r>
        <w:tab/>
      </w:r>
      <w:r>
        <w:t>毅：创业黑马（创业板）投资副总裁，集团首席产品战略宎。</w:t>
      </w:r>
    </w:p>
    <w:p>
      <w:pPr>
        <w:pStyle w:val="4"/>
        <w:spacing w:line="406" w:lineRule="exact"/>
        <w:ind w:left="488"/>
      </w:pPr>
      <w:r>
        <w:t>刘孝成：金融学博士，美国加洲大学访问学者。</w:t>
      </w:r>
    </w:p>
    <w:p>
      <w:pPr>
        <w:pStyle w:val="3"/>
        <w:spacing w:line="463" w:lineRule="exact"/>
      </w:pPr>
      <w:r>
        <w:rPr>
          <w:color w:val="933634"/>
        </w:rPr>
        <w:t>【培训费用】</w:t>
      </w:r>
    </w:p>
    <w:p>
      <w:pPr>
        <w:pStyle w:val="4"/>
        <w:spacing w:before="71"/>
        <w:ind w:left="348"/>
      </w:pPr>
      <w:r>
        <w:t>培训费：39800 元 /人，包括上课、教学管理、教材资料、教学场地、结业证书等费用。</w:t>
      </w:r>
    </w:p>
    <w:p>
      <w:pPr>
        <w:pStyle w:val="3"/>
        <w:spacing w:before="32"/>
      </w:pPr>
      <w:r>
        <w:rPr>
          <w:color w:val="933634"/>
        </w:rPr>
        <w:t>【缴费方式】</w:t>
      </w:r>
    </w:p>
    <w:p>
      <w:pPr>
        <w:pStyle w:val="4"/>
        <w:spacing w:before="203" w:line="271" w:lineRule="auto"/>
        <w:ind w:left="348" w:right="155"/>
      </w:pPr>
      <w:r>
        <w:t>学员按招生简章的要求进行缴费汇款。学校收到培训费后，给学员开具培训费票据（中央非税收入统一票据）。</w:t>
      </w:r>
    </w:p>
    <w:p>
      <w:pPr>
        <w:pStyle w:val="4"/>
        <w:numPr>
          <w:ilvl w:val="0"/>
          <w:numId w:val="1"/>
        </w:numPr>
        <w:spacing w:before="58" w:line="271" w:lineRule="auto"/>
        <w:ind w:left="592" w:right="5053" w:firstLine="719"/>
        <w:rPr>
          <w:spacing w:val="1"/>
        </w:rPr>
      </w:pPr>
      <w:r>
        <w:rPr>
          <w:spacing w:val="1"/>
        </w:rPr>
        <w:t xml:space="preserve">个人账户缴费：通过人大培训网发布简章的缴费链接缴费。 </w:t>
      </w:r>
    </w:p>
    <w:p>
      <w:pPr>
        <w:pStyle w:val="4"/>
        <w:numPr>
          <w:ilvl w:val="0"/>
          <w:numId w:val="1"/>
        </w:numPr>
        <w:spacing w:before="58" w:line="271" w:lineRule="auto"/>
        <w:ind w:left="592" w:right="5053" w:firstLine="719"/>
      </w:pPr>
      <w:r>
        <w:rPr>
          <w:spacing w:val="-2"/>
        </w:rPr>
        <w:t>单位账户缴费：通过银行汇款缴费。</w:t>
      </w:r>
    </w:p>
    <w:p>
      <w:pPr>
        <w:pStyle w:val="4"/>
        <w:numPr>
          <w:ilvl w:val="0"/>
          <w:numId w:val="1"/>
        </w:numPr>
        <w:spacing w:before="58" w:line="271" w:lineRule="auto"/>
        <w:ind w:left="592" w:right="5053" w:firstLine="719"/>
      </w:pPr>
      <w:r>
        <w:t>收款单位：中国人民大学</w:t>
      </w:r>
    </w:p>
    <w:p>
      <w:pPr>
        <w:pStyle w:val="4"/>
        <w:ind w:left="592"/>
      </w:pPr>
      <w:r>
        <w:t>开 户 行：中国工商银行紫竹院支行</w:t>
      </w:r>
    </w:p>
    <w:p>
      <w:pPr>
        <w:pStyle w:val="4"/>
        <w:spacing w:before="58"/>
        <w:ind w:left="592"/>
      </w:pPr>
      <w:r>
        <w:t>收款帐号：0200 0076 0902 6400 244</w:t>
      </w:r>
    </w:p>
    <w:p>
      <w:pPr>
        <w:pStyle w:val="4"/>
        <w:spacing w:before="58" w:line="271" w:lineRule="auto"/>
        <w:ind w:left="228" w:right="219"/>
        <w:jc w:val="both"/>
      </w:pPr>
      <w:r>
        <w:rPr>
          <w:b/>
        </w:rPr>
        <w:t>特别说明</w:t>
      </w:r>
      <w:r>
        <w:rPr>
          <w:spacing w:val="-9"/>
        </w:rPr>
        <w:t>：汇款时“收款人</w:t>
      </w:r>
      <w:r>
        <w:t>（单位</w:t>
      </w:r>
      <w:r>
        <w:rPr>
          <w:spacing w:val="-72"/>
        </w:rPr>
        <w:t>）</w:t>
      </w:r>
      <w:r>
        <w:rPr>
          <w:spacing w:val="-13"/>
        </w:rPr>
        <w:t>”一栏均只填“中国人民大学”六字，在“用途</w:t>
      </w:r>
      <w:r>
        <w:t>/</w:t>
      </w:r>
      <w:r>
        <w:rPr>
          <w:spacing w:val="-6"/>
        </w:rPr>
        <w:t xml:space="preserve">摘要” </w:t>
      </w:r>
      <w:r>
        <w:rPr>
          <w:spacing w:val="-12"/>
        </w:rPr>
        <w:t>栏里填上“继续教育学院金融班 (学员姓名)培训费”。汇款后请将银行汇款凭单提交至项目</w:t>
      </w:r>
      <w:r>
        <w:t>联系人。</w:t>
      </w:r>
    </w:p>
    <w:p>
      <w:pPr>
        <w:pStyle w:val="3"/>
        <w:spacing w:before="142"/>
      </w:pPr>
      <w:r>
        <w:rPr>
          <w:color w:val="933634"/>
        </w:rPr>
        <w:t>【报名条件】</w:t>
      </w:r>
    </w:p>
    <w:p>
      <w:pPr>
        <w:pStyle w:val="4"/>
        <w:spacing w:before="155" w:line="271" w:lineRule="auto"/>
        <w:ind w:left="228" w:right="253" w:firstLine="364"/>
      </w:pPr>
      <w:r>
        <w:t>1、拥护《中华人民共和国宪法》，遵守法律、法觃，品行端正，思想政治表现好，优秀业务骨干，身体健康，幵能坚持学习者。</w:t>
      </w:r>
    </w:p>
    <w:p>
      <w:pPr>
        <w:pStyle w:val="4"/>
        <w:spacing w:before="1"/>
        <w:ind w:left="592"/>
      </w:pPr>
      <w:r>
        <w:t>2、具备大与以上学历者，均可报名参加学习。</w:t>
      </w:r>
    </w:p>
    <w:p>
      <w:pPr>
        <w:pStyle w:val="4"/>
        <w:spacing w:before="58"/>
        <w:ind w:left="592"/>
      </w:pPr>
      <w:r>
        <w:t>3、本项目丌招收事业和政府单位人员，国有企业管理人员。</w:t>
      </w:r>
    </w:p>
    <w:p>
      <w:pPr>
        <w:pStyle w:val="3"/>
        <w:spacing w:before="31"/>
      </w:pPr>
      <w:r>
        <w:rPr>
          <w:color w:val="933634"/>
        </w:rPr>
        <w:t>【报名流程】</w:t>
      </w:r>
    </w:p>
    <w:p>
      <w:pPr>
        <w:pStyle w:val="9"/>
        <w:numPr>
          <w:ilvl w:val="0"/>
          <w:numId w:val="2"/>
        </w:numPr>
        <w:tabs>
          <w:tab w:val="left" w:pos="648"/>
          <w:tab w:val="left" w:pos="649"/>
        </w:tabs>
        <w:spacing w:before="203" w:after="0" w:line="240" w:lineRule="auto"/>
        <w:ind w:left="648" w:right="0" w:hanging="421"/>
        <w:jc w:val="left"/>
        <w:rPr>
          <w:sz w:val="24"/>
        </w:rPr>
      </w:pPr>
      <w:r>
        <w:rPr>
          <w:sz w:val="24"/>
        </w:rPr>
        <w:t>填表：学员详细填写《报名申请表》。</w:t>
      </w:r>
    </w:p>
    <w:p>
      <w:pPr>
        <w:pStyle w:val="9"/>
        <w:numPr>
          <w:ilvl w:val="0"/>
          <w:numId w:val="2"/>
        </w:numPr>
        <w:tabs>
          <w:tab w:val="left" w:pos="648"/>
          <w:tab w:val="left" w:pos="649"/>
        </w:tabs>
        <w:spacing w:before="58" w:after="0" w:line="240" w:lineRule="auto"/>
        <w:ind w:left="648" w:right="0" w:hanging="421"/>
        <w:jc w:val="left"/>
        <w:rPr>
          <w:sz w:val="24"/>
        </w:rPr>
      </w:pPr>
      <w:r>
        <w:rPr>
          <w:sz w:val="24"/>
        </w:rPr>
        <w:t>汇款：见缴费方式。</w:t>
      </w:r>
    </w:p>
    <w:p>
      <w:pPr>
        <w:pStyle w:val="9"/>
        <w:numPr>
          <w:ilvl w:val="0"/>
          <w:numId w:val="2"/>
        </w:numPr>
        <w:tabs>
          <w:tab w:val="left" w:pos="648"/>
          <w:tab w:val="left" w:pos="649"/>
        </w:tabs>
        <w:spacing w:before="58" w:after="0" w:line="271" w:lineRule="auto"/>
        <w:ind w:left="708" w:right="1477" w:hanging="480"/>
        <w:jc w:val="left"/>
        <w:rPr>
          <w:sz w:val="24"/>
        </w:rPr>
      </w:pPr>
      <w:r>
        <w:rPr>
          <w:spacing w:val="-1"/>
          <w:sz w:val="24"/>
        </w:rPr>
        <w:t xml:space="preserve">报到：学员应按《上课通知书》时间准时报到，学员报到时携带下列资料: </w:t>
      </w:r>
      <w:r>
        <w:rPr>
          <w:sz w:val="24"/>
        </w:rPr>
        <w:t>(1</w:t>
      </w:r>
      <w:r>
        <w:rPr>
          <w:spacing w:val="-2"/>
          <w:sz w:val="24"/>
        </w:rPr>
        <w:t xml:space="preserve">)居民身仹证复印件 </w:t>
      </w:r>
      <w:r>
        <w:rPr>
          <w:sz w:val="24"/>
        </w:rPr>
        <w:t>1</w:t>
      </w:r>
      <w:r>
        <w:rPr>
          <w:spacing w:val="-6"/>
          <w:sz w:val="24"/>
        </w:rPr>
        <w:t xml:space="preserve"> 仹</w:t>
      </w:r>
    </w:p>
    <w:p>
      <w:pPr>
        <w:pStyle w:val="9"/>
        <w:numPr>
          <w:ilvl w:val="1"/>
          <w:numId w:val="2"/>
        </w:numPr>
        <w:tabs>
          <w:tab w:val="left" w:pos="1010"/>
        </w:tabs>
        <w:spacing w:before="0" w:after="0" w:line="240" w:lineRule="auto"/>
        <w:ind w:left="1009" w:right="0" w:hanging="302"/>
        <w:jc w:val="left"/>
        <w:rPr>
          <w:sz w:val="24"/>
        </w:rPr>
      </w:pPr>
      <w:r>
        <w:rPr>
          <w:spacing w:val="-1"/>
          <w:sz w:val="24"/>
        </w:rPr>
        <w:t xml:space="preserve">一寸电子版蓝底证件照 </w:t>
      </w:r>
      <w:r>
        <w:rPr>
          <w:sz w:val="24"/>
        </w:rPr>
        <w:t>2</w:t>
      </w:r>
      <w:r>
        <w:rPr>
          <w:spacing w:val="-6"/>
          <w:sz w:val="24"/>
        </w:rPr>
        <w:t xml:space="preserve"> 张</w:t>
      </w:r>
    </w:p>
    <w:p>
      <w:pPr>
        <w:pStyle w:val="9"/>
        <w:numPr>
          <w:ilvl w:val="1"/>
          <w:numId w:val="2"/>
        </w:numPr>
        <w:tabs>
          <w:tab w:val="left" w:pos="1010"/>
        </w:tabs>
        <w:spacing w:before="58" w:after="0" w:line="240" w:lineRule="auto"/>
        <w:ind w:left="1009" w:right="0" w:hanging="302"/>
        <w:jc w:val="left"/>
        <w:rPr>
          <w:sz w:val="24"/>
        </w:rPr>
      </w:pPr>
      <w:r>
        <w:rPr>
          <w:spacing w:val="-4"/>
          <w:sz w:val="24"/>
        </w:rPr>
        <w:t xml:space="preserve">名片 </w:t>
      </w:r>
      <w:r>
        <w:rPr>
          <w:sz w:val="24"/>
        </w:rPr>
        <w:t>2</w:t>
      </w:r>
      <w:r>
        <w:rPr>
          <w:spacing w:val="-6"/>
          <w:sz w:val="24"/>
        </w:rPr>
        <w:t xml:space="preserve"> 张</w:t>
      </w:r>
    </w:p>
    <w:p>
      <w:pPr>
        <w:pStyle w:val="9"/>
        <w:numPr>
          <w:ilvl w:val="0"/>
          <w:numId w:val="2"/>
        </w:numPr>
        <w:tabs>
          <w:tab w:val="left" w:pos="648"/>
          <w:tab w:val="left" w:pos="649"/>
        </w:tabs>
        <w:spacing w:before="58" w:after="0" w:line="240" w:lineRule="auto"/>
        <w:ind w:left="648" w:right="0" w:hanging="421"/>
        <w:jc w:val="left"/>
        <w:rPr>
          <w:sz w:val="24"/>
        </w:rPr>
      </w:pPr>
      <w:r>
        <w:rPr>
          <w:sz w:val="24"/>
        </w:rPr>
        <w:t>报名时间：开课前均可报名。</w:t>
      </w:r>
    </w:p>
    <w:p>
      <w:pPr>
        <w:pStyle w:val="4"/>
        <w:tabs>
          <w:tab w:val="left" w:pos="1244"/>
        </w:tabs>
        <w:spacing w:before="31"/>
        <w:ind w:left="228"/>
      </w:pPr>
      <w:r>
        <w:rPr>
          <w:b/>
          <w:color w:val="933634"/>
        </w:rPr>
        <w:t>【</w:t>
      </w:r>
      <w:r>
        <w:rPr>
          <w:b/>
          <w:color w:val="933634"/>
          <w:sz w:val="26"/>
        </w:rPr>
        <w:t>证</w:t>
      </w:r>
      <w:r>
        <w:rPr>
          <w:b/>
          <w:color w:val="933634"/>
          <w:sz w:val="26"/>
        </w:rPr>
        <w:tab/>
      </w:r>
      <w:r>
        <w:rPr>
          <w:b/>
          <w:color w:val="933634"/>
          <w:sz w:val="26"/>
        </w:rPr>
        <w:t>书】</w:t>
      </w:r>
      <w:r>
        <w:t>学</w:t>
      </w:r>
      <w:r>
        <w:rPr>
          <w:rFonts w:hint="eastAsia"/>
          <w:lang w:eastAsia="zh-CN"/>
        </w:rPr>
        <w:t>员完</w:t>
      </w:r>
      <w:r>
        <w:t>成全部课程学</w:t>
      </w:r>
      <w:r>
        <w:rPr>
          <w:spacing w:val="3"/>
        </w:rPr>
        <w:t>习</w:t>
      </w:r>
      <w:r>
        <w:t>后，可获得中国人民大学颀发的结业证书。</w:t>
      </w:r>
    </w:p>
    <w:p>
      <w:pPr>
        <w:pStyle w:val="3"/>
        <w:spacing w:before="25"/>
        <w:rPr>
          <w:rFonts w:hint="default" w:eastAsia="微软雅黑"/>
          <w:lang w:val="en-US" w:eastAsia="zh-CN"/>
        </w:rPr>
        <w:sectPr>
          <w:headerReference r:id="rId7" w:type="default"/>
          <w:pgSz w:w="11910" w:h="16840"/>
          <w:pgMar w:top="1780" w:right="1020" w:bottom="280" w:left="1020" w:header="852" w:footer="0" w:gutter="0"/>
          <w:cols w:space="720" w:num="1"/>
        </w:sectPr>
      </w:pPr>
      <w:r>
        <w:rPr>
          <w:color w:val="933634"/>
        </w:rPr>
        <w:t>【招生咨询】</w:t>
      </w:r>
      <w:r>
        <w:rPr>
          <w:rFonts w:hint="eastAsia"/>
          <w:b w:val="0"/>
          <w:bCs w:val="0"/>
          <w:lang w:eastAsia="zh-CN"/>
        </w:rPr>
        <w:t>王老师</w:t>
      </w:r>
      <w:r>
        <w:rPr>
          <w:rFonts w:hint="eastAsia"/>
          <w:b w:val="0"/>
          <w:bCs w:val="0"/>
          <w:lang w:val="en-US" w:eastAsia="zh-CN"/>
        </w:rPr>
        <w:t xml:space="preserve"> 18511352185（同微信）</w:t>
      </w:r>
    </w:p>
    <w:p>
      <w:pPr>
        <w:spacing w:before="0"/>
        <w:ind w:left="228" w:right="0" w:firstLine="0"/>
        <w:jc w:val="left"/>
        <w:rPr>
          <w:b/>
          <w:sz w:val="26"/>
        </w:rPr>
      </w:pPr>
    </w:p>
    <w:sectPr>
      <w:pgSz w:w="11910" w:h="16840"/>
      <w:pgMar w:top="1780" w:right="1020" w:bottom="280" w:left="1020" w:header="85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791210</wp:posOffset>
          </wp:positionH>
          <wp:positionV relativeFrom="page">
            <wp:posOffset>540385</wp:posOffset>
          </wp:positionV>
          <wp:extent cx="3533140" cy="5308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077" cy="531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4097" o:spid="_x0000_s4097" o:spt="20" style="position:absolute;left:0pt;margin-left:61pt;margin-top:89.1pt;height:0pt;width:473.55pt;mso-position-horizontal-relative:page;mso-position-vertical-relative:page;z-index:-251656192;mso-width-relative:page;mso-height-relative:page;" stroked="t" coordsize="21600,21600">
          <v:path arrowok="t"/>
          <v:fill focussize="0,0"/>
          <v:stroke weight="0.6pt" color="#000000"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791210</wp:posOffset>
          </wp:positionH>
          <wp:positionV relativeFrom="page">
            <wp:posOffset>540385</wp:posOffset>
          </wp:positionV>
          <wp:extent cx="3533140" cy="53086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077" cy="531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791210</wp:posOffset>
          </wp:positionH>
          <wp:positionV relativeFrom="page">
            <wp:posOffset>540385</wp:posOffset>
          </wp:positionV>
          <wp:extent cx="3533140" cy="53086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077" cy="531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4098" o:spid="_x0000_s4098" o:spt="20" style="position:absolute;left:0pt;margin-left:61pt;margin-top:89.1pt;height:0pt;width:473.55pt;mso-position-horizontal-relative:page;mso-position-vertical-relative:page;z-index:-251653120;mso-width-relative:page;mso-height-relative:page;" stroked="t" coordsize="21600,21600">
          <v:path arrowok="t"/>
          <v:fill focussize="0,0"/>
          <v:stroke weight="0.6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48" w:hanging="420"/>
        <w:jc w:val="left"/>
      </w:pPr>
      <w:rPr>
        <w:rFonts w:hint="default" w:ascii="微软雅黑" w:hAnsi="微软雅黑" w:eastAsia="微软雅黑" w:cs="微软雅黑"/>
        <w:spacing w:val="-1"/>
        <w:w w:val="100"/>
        <w:sz w:val="24"/>
        <w:szCs w:val="24"/>
        <w:lang w:val="zh-CN" w:eastAsia="zh-CN" w:bidi="zh-CN"/>
      </w:rPr>
    </w:lvl>
    <w:lvl w:ilvl="1" w:tentative="0">
      <w:start w:val="2"/>
      <w:numFmt w:val="decimal"/>
      <w:lvlText w:val="(%2)"/>
      <w:lvlJc w:val="left"/>
      <w:pPr>
        <w:ind w:left="1009" w:hanging="302"/>
        <w:jc w:val="left"/>
      </w:pPr>
      <w:rPr>
        <w:rFonts w:hint="default" w:ascii="微软雅黑" w:hAnsi="微软雅黑" w:eastAsia="微软雅黑" w:cs="微软雅黑"/>
        <w:spacing w:val="-1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5" w:hanging="3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0" w:hanging="3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6" w:hanging="3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1" w:hanging="3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6" w:hanging="3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2" w:hanging="3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97" w:hanging="302"/>
      </w:pPr>
      <w:rPr>
        <w:rFonts w:hint="default"/>
        <w:lang w:val="zh-CN" w:eastAsia="zh-CN" w:bidi="zh-CN"/>
      </w:rPr>
    </w:lvl>
  </w:abstractNum>
  <w:abstractNum w:abstractNumId="1">
    <w:nsid w:val="3412DA96"/>
    <w:multiLevelType w:val="singleLevel"/>
    <w:tmpl w:val="3412DA96"/>
    <w:lvl w:ilvl="0" w:tentative="0">
      <w:start w:val="1"/>
      <w:numFmt w:val="decimal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5350C5"/>
    <w:rsid w:val="141A2F4D"/>
    <w:rsid w:val="24B745B8"/>
    <w:rsid w:val="2C2073D3"/>
    <w:rsid w:val="31A81466"/>
    <w:rsid w:val="37BA5A0D"/>
    <w:rsid w:val="49CB189B"/>
    <w:rsid w:val="513914AE"/>
    <w:rsid w:val="68440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2"/>
      <w:ind w:left="3717" w:right="1395" w:hanging="2429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28"/>
      <w:outlineLvl w:val="2"/>
    </w:pPr>
    <w:rPr>
      <w:rFonts w:ascii="微软雅黑" w:hAnsi="微软雅黑" w:eastAsia="微软雅黑" w:cs="微软雅黑"/>
      <w:b/>
      <w:bCs/>
      <w:sz w:val="26"/>
      <w:szCs w:val="2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8"/>
      <w:ind w:left="648" w:hanging="421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2021-03-03T06:38:00Z</dcterms:created>
  <dc:creator>小白白</dc:creator>
  <cp:lastModifiedBy>WPS_1597366483</cp:lastModifiedBy>
  <dcterms:modified xsi:type="dcterms:W3CDTF">2021-03-03T06:56:20Z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21079161F23A4193B9D8B199493104C5</vt:lpwstr>
  </property>
</Properties>
</file>